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C5AFE" w14:textId="77777777" w:rsidR="003B418D" w:rsidRDefault="003B418D" w:rsidP="00100AF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980BCAC" wp14:editId="373128B1">
            <wp:extent cx="1923619" cy="11144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13" cy="1120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ED559" w14:textId="48544232" w:rsidR="0021428F" w:rsidRPr="00100AFC" w:rsidRDefault="007353B9" w:rsidP="00100AFC">
      <w:pPr>
        <w:jc w:val="center"/>
        <w:rPr>
          <w:b/>
          <w:bCs/>
        </w:rPr>
      </w:pPr>
      <w:r w:rsidRPr="00100AFC">
        <w:rPr>
          <w:b/>
          <w:bCs/>
        </w:rPr>
        <w:t>Implementation of Electronic Messaging for Newborn Screening</w:t>
      </w:r>
      <w:r w:rsidR="00FA5E48" w:rsidRPr="00100AFC">
        <w:rPr>
          <w:b/>
          <w:bCs/>
        </w:rPr>
        <w:t xml:space="preserve"> - Benefits/ROI</w:t>
      </w:r>
    </w:p>
    <w:p w14:paraId="4125600A" w14:textId="0D0F4F73" w:rsidR="007353B9" w:rsidRDefault="00C772F1" w:rsidP="007353B9">
      <w:pPr>
        <w:pStyle w:val="ListParagraph"/>
        <w:numPr>
          <w:ilvl w:val="0"/>
          <w:numId w:val="1"/>
        </w:numPr>
      </w:pPr>
      <w:r>
        <w:t>Improves</w:t>
      </w:r>
      <w:r w:rsidR="007353B9">
        <w:t xml:space="preserve"> the quality of submission data</w:t>
      </w:r>
    </w:p>
    <w:p w14:paraId="17584395" w14:textId="65E951B8" w:rsidR="007353B9" w:rsidRPr="00DB1963" w:rsidRDefault="007353B9" w:rsidP="007353B9">
      <w:pPr>
        <w:pStyle w:val="ListParagraph"/>
        <w:numPr>
          <w:ilvl w:val="1"/>
          <w:numId w:val="1"/>
        </w:numPr>
      </w:pPr>
      <w:r w:rsidRPr="00DB1963">
        <w:t xml:space="preserve">Reduces </w:t>
      </w:r>
      <w:r w:rsidR="00A65AC3">
        <w:t xml:space="preserve">time </w:t>
      </w:r>
      <w:r w:rsidRPr="00DB1963">
        <w:t>spent</w:t>
      </w:r>
      <w:r w:rsidR="00DB1963" w:rsidRPr="00DB1963">
        <w:t xml:space="preserve"> by hospital staff</w:t>
      </w:r>
      <w:r w:rsidRPr="00DB1963">
        <w:t xml:space="preserve"> tracking down missing or eligible data from the sample submission card</w:t>
      </w:r>
      <w:r w:rsidR="00A65AC3">
        <w:t xml:space="preserve"> when requested by DCLS</w:t>
      </w:r>
      <w:r w:rsidR="00357FE9">
        <w:t>.</w:t>
      </w:r>
    </w:p>
    <w:p w14:paraId="467BA660" w14:textId="763EC8F0" w:rsidR="007353B9" w:rsidRDefault="007353B9" w:rsidP="007353B9">
      <w:pPr>
        <w:pStyle w:val="ListParagraph"/>
        <w:numPr>
          <w:ilvl w:val="1"/>
          <w:numId w:val="1"/>
        </w:numPr>
      </w:pPr>
      <w:r w:rsidRPr="00DB1963">
        <w:t xml:space="preserve">Eliminates opportunity for DCLS clerical staff to mis-key data during sample accessioning process, which could tie up hospital resources </w:t>
      </w:r>
      <w:r w:rsidR="0029193F" w:rsidRPr="00DB1963">
        <w:t>downstream</w:t>
      </w:r>
      <w:r w:rsidR="00357FE9">
        <w:t>.</w:t>
      </w:r>
    </w:p>
    <w:p w14:paraId="1B65670A" w14:textId="6D75417D" w:rsidR="00100AFC" w:rsidRPr="00DB1963" w:rsidRDefault="00100AFC" w:rsidP="00A65AC3">
      <w:pPr>
        <w:pStyle w:val="ListParagraph"/>
        <w:numPr>
          <w:ilvl w:val="1"/>
          <w:numId w:val="1"/>
        </w:numPr>
        <w:spacing w:after="0"/>
      </w:pPr>
      <w:r w:rsidRPr="00100AFC">
        <w:t>Post-implementation data shows that</w:t>
      </w:r>
      <w:r w:rsidRPr="00100AFC">
        <w:rPr>
          <w:b/>
          <w:bCs/>
        </w:rPr>
        <w:t xml:space="preserve"> hospitals that have moved to the electronic transmission of NBS orders see a 70% reduction in number of samples submitted with incorrect or missing data.</w:t>
      </w:r>
      <w:r w:rsidRPr="00100AFC">
        <w:t xml:space="preserve">  This reduction greatly improves data quality which eliminates delays in sample processing and reduces time and effort for both hospital and NBS Program staff.</w:t>
      </w:r>
    </w:p>
    <w:p w14:paraId="764C3EE5" w14:textId="323422B0" w:rsidR="00C772F1" w:rsidRPr="00DB1963" w:rsidRDefault="00BF4C45" w:rsidP="00683786">
      <w:pPr>
        <w:pStyle w:val="ListParagraph"/>
        <w:numPr>
          <w:ilvl w:val="0"/>
          <w:numId w:val="1"/>
        </w:numPr>
        <w:spacing w:after="0"/>
      </w:pPr>
      <w:r>
        <w:t xml:space="preserve">All </w:t>
      </w:r>
      <w:r w:rsidR="00C772F1" w:rsidRPr="00DB1963">
        <w:t xml:space="preserve">NBS </w:t>
      </w:r>
      <w:r>
        <w:t xml:space="preserve">sample </w:t>
      </w:r>
      <w:r w:rsidR="005D6460" w:rsidRPr="00DB1963">
        <w:t>demographic</w:t>
      </w:r>
      <w:r>
        <w:t xml:space="preserve"> information is</w:t>
      </w:r>
      <w:r w:rsidR="00C772F1" w:rsidRPr="00DB1963">
        <w:t xml:space="preserve"> available </w:t>
      </w:r>
      <w:r w:rsidR="005D6460" w:rsidRPr="00DB1963">
        <w:t xml:space="preserve">to ensure </w:t>
      </w:r>
      <w:r w:rsidR="00C772F1" w:rsidRPr="00DB1963">
        <w:t xml:space="preserve">testing </w:t>
      </w:r>
      <w:r w:rsidR="005D6460" w:rsidRPr="00DB1963">
        <w:t xml:space="preserve">can be </w:t>
      </w:r>
      <w:r w:rsidR="00FA5E48">
        <w:t>performed</w:t>
      </w:r>
      <w:r w:rsidR="005D6460" w:rsidRPr="00DB1963">
        <w:t xml:space="preserve"> </w:t>
      </w:r>
      <w:r w:rsidR="00C772F1" w:rsidRPr="00DB1963">
        <w:t>as quickly as possible</w:t>
      </w:r>
      <w:r w:rsidR="00357FE9">
        <w:t>.</w:t>
      </w:r>
    </w:p>
    <w:tbl>
      <w:tblPr>
        <w:tblStyle w:val="TableGrid1"/>
        <w:tblpPr w:leftFromText="180" w:rightFromText="180" w:vertAnchor="page" w:horzAnchor="margin" w:tblpY="8266"/>
        <w:tblW w:w="10110" w:type="dxa"/>
        <w:tblLook w:val="04A0" w:firstRow="1" w:lastRow="0" w:firstColumn="1" w:lastColumn="0" w:noHBand="0" w:noVBand="1"/>
      </w:tblPr>
      <w:tblGrid>
        <w:gridCol w:w="5755"/>
        <w:gridCol w:w="1980"/>
        <w:gridCol w:w="2375"/>
      </w:tblGrid>
      <w:tr w:rsidR="00683786" w:rsidRPr="00E93068" w14:paraId="7F8B13E0" w14:textId="77777777" w:rsidTr="00683786">
        <w:tc>
          <w:tcPr>
            <w:tcW w:w="5755" w:type="dxa"/>
            <w:shd w:val="clear" w:color="auto" w:fill="BFBFBF"/>
          </w:tcPr>
          <w:p w14:paraId="33B0B9CC" w14:textId="77777777" w:rsidR="00683786" w:rsidRPr="00A65AC3" w:rsidRDefault="00683786" w:rsidP="00683786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D4926A" w14:textId="77777777" w:rsidR="00683786" w:rsidRPr="00A65AC3" w:rsidRDefault="00683786" w:rsidP="00683786">
            <w:pPr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5AC3">
              <w:rPr>
                <w:rFonts w:ascii="Calibri" w:eastAsia="Calibri" w:hAnsi="Calibri" w:cs="Calibri"/>
                <w:sz w:val="20"/>
                <w:szCs w:val="20"/>
              </w:rPr>
              <w:t>Before e-orders</w:t>
            </w:r>
          </w:p>
        </w:tc>
        <w:tc>
          <w:tcPr>
            <w:tcW w:w="2375" w:type="dxa"/>
          </w:tcPr>
          <w:p w14:paraId="7F01B509" w14:textId="77777777" w:rsidR="00683786" w:rsidRPr="00A65AC3" w:rsidRDefault="00683786" w:rsidP="00683786">
            <w:pPr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5AC3">
              <w:rPr>
                <w:rFonts w:ascii="Calibri" w:eastAsia="Calibri" w:hAnsi="Calibri" w:cs="Calibri"/>
                <w:sz w:val="20"/>
                <w:szCs w:val="20"/>
              </w:rPr>
              <w:t>After e-orders</w:t>
            </w:r>
          </w:p>
        </w:tc>
      </w:tr>
      <w:tr w:rsidR="00683786" w:rsidRPr="00E93068" w14:paraId="46744C1B" w14:textId="77777777" w:rsidTr="00683786">
        <w:tc>
          <w:tcPr>
            <w:tcW w:w="5755" w:type="dxa"/>
          </w:tcPr>
          <w:p w14:paraId="15867116" w14:textId="77777777" w:rsidR="00683786" w:rsidRPr="00A65AC3" w:rsidRDefault="00683786" w:rsidP="00683786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65AC3">
              <w:rPr>
                <w:rFonts w:ascii="Calibri" w:eastAsia="Calibri" w:hAnsi="Calibri" w:cs="Calibri"/>
                <w:sz w:val="20"/>
                <w:szCs w:val="20"/>
              </w:rPr>
              <w:t>Average DCLS processing time from sample receipt and accessioning through completion of data verification in LIMS</w:t>
            </w:r>
          </w:p>
        </w:tc>
        <w:tc>
          <w:tcPr>
            <w:tcW w:w="1980" w:type="dxa"/>
          </w:tcPr>
          <w:p w14:paraId="61AD2471" w14:textId="77777777" w:rsidR="00683786" w:rsidRPr="00A65AC3" w:rsidRDefault="00683786" w:rsidP="00683786">
            <w:pPr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5AC3">
              <w:rPr>
                <w:rFonts w:ascii="Calibri" w:eastAsia="Calibri" w:hAnsi="Calibri" w:cs="Calibri"/>
                <w:sz w:val="20"/>
                <w:szCs w:val="20"/>
              </w:rPr>
              <w:t>4.8 hours</w:t>
            </w:r>
          </w:p>
        </w:tc>
        <w:tc>
          <w:tcPr>
            <w:tcW w:w="2375" w:type="dxa"/>
          </w:tcPr>
          <w:p w14:paraId="4A5BFFE2" w14:textId="77777777" w:rsidR="00683786" w:rsidRPr="00A65AC3" w:rsidRDefault="00683786" w:rsidP="00683786">
            <w:pPr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5AC3">
              <w:rPr>
                <w:rFonts w:ascii="Calibri" w:eastAsia="Calibri" w:hAnsi="Calibri" w:cs="Calibri"/>
                <w:sz w:val="20"/>
                <w:szCs w:val="20"/>
              </w:rPr>
              <w:t>1.4 hours</w:t>
            </w:r>
          </w:p>
        </w:tc>
      </w:tr>
    </w:tbl>
    <w:p w14:paraId="6EAD32BE" w14:textId="15238E3C" w:rsidR="00C772F1" w:rsidRPr="00DB1963" w:rsidRDefault="00C772F1" w:rsidP="00C772F1">
      <w:pPr>
        <w:pStyle w:val="ListParagraph"/>
        <w:numPr>
          <w:ilvl w:val="1"/>
          <w:numId w:val="1"/>
        </w:numPr>
      </w:pPr>
      <w:r w:rsidRPr="00DB1963">
        <w:t xml:space="preserve"> Speeds sample preparation on the hospital side (</w:t>
      </w:r>
      <w:r w:rsidRPr="006A0E3B">
        <w:rPr>
          <w:u w:val="single"/>
        </w:rPr>
        <w:t>no more hand-writing</w:t>
      </w:r>
      <w:r w:rsidRPr="00DB1963">
        <w:t xml:space="preserve"> of 50+ pieces of data on submission cards)</w:t>
      </w:r>
      <w:r w:rsidR="00357FE9">
        <w:t>.</w:t>
      </w:r>
    </w:p>
    <w:p w14:paraId="5BC9543C" w14:textId="76FBE335" w:rsidR="00E93068" w:rsidRPr="00100AFC" w:rsidRDefault="00C772F1" w:rsidP="00683786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DB1963">
        <w:t>Speeds sample accessioning the DCLS side (no more keying of 50+ pieces of data)</w:t>
      </w:r>
      <w:r w:rsidR="00357FE9">
        <w:t>.</w:t>
      </w:r>
      <w:r w:rsidRPr="00DB1963">
        <w:t xml:space="preserve"> </w:t>
      </w:r>
    </w:p>
    <w:p w14:paraId="28B8A3BC" w14:textId="1014548A" w:rsidR="00273055" w:rsidRPr="00DB1963" w:rsidRDefault="00C772F1" w:rsidP="00C772F1">
      <w:pPr>
        <w:pStyle w:val="ListParagraph"/>
        <w:numPr>
          <w:ilvl w:val="0"/>
          <w:numId w:val="1"/>
        </w:numPr>
      </w:pPr>
      <w:r w:rsidRPr="00DB1963">
        <w:t>Provides an automatic tracking of samples</w:t>
      </w:r>
      <w:r w:rsidR="00100AFC">
        <w:t xml:space="preserve"> and results</w:t>
      </w:r>
      <w:r w:rsidR="00357FE9">
        <w:t>.</w:t>
      </w:r>
    </w:p>
    <w:p w14:paraId="13A7DBC7" w14:textId="5D5FA212" w:rsidR="00C772F1" w:rsidRPr="00DB1963" w:rsidRDefault="00C772F1" w:rsidP="00273055">
      <w:pPr>
        <w:pStyle w:val="ListParagraph"/>
        <w:numPr>
          <w:ilvl w:val="1"/>
          <w:numId w:val="1"/>
        </w:numPr>
      </w:pPr>
      <w:r w:rsidRPr="00DB1963">
        <w:t xml:space="preserve">If the electronic submission is sent but no physical sample arrives </w:t>
      </w:r>
      <w:r w:rsidR="00100AFC">
        <w:t>this</w:t>
      </w:r>
      <w:r w:rsidR="00507BCE" w:rsidRPr="00DB1963">
        <w:t xml:space="preserve"> provides </w:t>
      </w:r>
      <w:r w:rsidR="00100AFC">
        <w:t>an alert</w:t>
      </w:r>
      <w:r w:rsidR="00507BCE" w:rsidRPr="00DB1963">
        <w:t xml:space="preserve"> for DCLS to inquir</w:t>
      </w:r>
      <w:r w:rsidR="00BF4C45">
        <w:t>e</w:t>
      </w:r>
      <w:r w:rsidR="00507BCE" w:rsidRPr="00DB1963">
        <w:t xml:space="preserve"> about the pending sample</w:t>
      </w:r>
      <w:r w:rsidR="00BF4C45">
        <w:t xml:space="preserve">. </w:t>
      </w:r>
      <w:r w:rsidR="001F00BA">
        <w:t>Likewise,</w:t>
      </w:r>
      <w:r w:rsidR="00BF4C45">
        <w:t xml:space="preserve"> the hospital can monitor to ensure results are returned</w:t>
      </w:r>
      <w:r w:rsidR="001F00BA">
        <w:t xml:space="preserve"> as expected</w:t>
      </w:r>
      <w:r w:rsidR="00BF4C45">
        <w:t xml:space="preserve"> for all samples sent for screening.</w:t>
      </w:r>
    </w:p>
    <w:p w14:paraId="511B4B06" w14:textId="0F4C06C5" w:rsidR="004166A3" w:rsidRPr="00DB1963" w:rsidRDefault="004166A3" w:rsidP="004166A3">
      <w:pPr>
        <w:pStyle w:val="ListParagraph"/>
        <w:numPr>
          <w:ilvl w:val="0"/>
          <w:numId w:val="1"/>
        </w:numPr>
      </w:pPr>
      <w:r w:rsidRPr="00DB1963">
        <w:t xml:space="preserve">By receiving results electronically - </w:t>
      </w:r>
    </w:p>
    <w:p w14:paraId="537CED1A" w14:textId="5B89DB74" w:rsidR="004166A3" w:rsidRPr="00DB1963" w:rsidRDefault="00273055" w:rsidP="00A65AC3">
      <w:pPr>
        <w:pStyle w:val="ListParagraph"/>
        <w:numPr>
          <w:ilvl w:val="1"/>
          <w:numId w:val="1"/>
        </w:numPr>
        <w:spacing w:after="0"/>
      </w:pPr>
      <w:r w:rsidRPr="00DB1963">
        <w:t xml:space="preserve">NBS results are available to healthcare professionals immediately upon completion of testing. No waiting for the printing of reports, the </w:t>
      </w:r>
      <w:r w:rsidR="00FA5E48">
        <w:t>delivery of reports</w:t>
      </w:r>
      <w:r w:rsidRPr="00DB1963">
        <w:t xml:space="preserve"> to the hospital and processing by hospital personnel. </w:t>
      </w:r>
    </w:p>
    <w:tbl>
      <w:tblPr>
        <w:tblStyle w:val="TableGrid2"/>
        <w:tblpPr w:leftFromText="180" w:rightFromText="180" w:vertAnchor="page" w:horzAnchor="margin" w:tblpY="12121"/>
        <w:tblW w:w="10075" w:type="dxa"/>
        <w:tblLook w:val="04A0" w:firstRow="1" w:lastRow="0" w:firstColumn="1" w:lastColumn="0" w:noHBand="0" w:noVBand="1"/>
      </w:tblPr>
      <w:tblGrid>
        <w:gridCol w:w="5755"/>
        <w:gridCol w:w="1980"/>
        <w:gridCol w:w="2340"/>
      </w:tblGrid>
      <w:tr w:rsidR="00A65AC3" w:rsidRPr="00E93068" w14:paraId="497FDB85" w14:textId="77777777" w:rsidTr="00A65AC3">
        <w:trPr>
          <w:trHeight w:val="247"/>
        </w:trPr>
        <w:tc>
          <w:tcPr>
            <w:tcW w:w="5755" w:type="dxa"/>
            <w:shd w:val="clear" w:color="auto" w:fill="BFBFBF"/>
          </w:tcPr>
          <w:p w14:paraId="39D7D89A" w14:textId="77777777" w:rsidR="00A65AC3" w:rsidRPr="00E93068" w:rsidRDefault="00A65AC3" w:rsidP="00A65AC3">
            <w:pPr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89D67F6" w14:textId="77777777" w:rsidR="00A65AC3" w:rsidRPr="00A65AC3" w:rsidRDefault="00A65AC3" w:rsidP="00A65AC3">
            <w:pPr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5AC3">
              <w:rPr>
                <w:rFonts w:ascii="Calibri" w:eastAsia="Calibri" w:hAnsi="Calibri" w:cs="Calibri"/>
                <w:sz w:val="20"/>
                <w:szCs w:val="20"/>
              </w:rPr>
              <w:t>Before e-results</w:t>
            </w:r>
          </w:p>
        </w:tc>
        <w:tc>
          <w:tcPr>
            <w:tcW w:w="2340" w:type="dxa"/>
          </w:tcPr>
          <w:p w14:paraId="39A9FDF1" w14:textId="77777777" w:rsidR="00A65AC3" w:rsidRPr="00A65AC3" w:rsidRDefault="00A65AC3" w:rsidP="00A65AC3">
            <w:pPr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5AC3">
              <w:rPr>
                <w:rFonts w:ascii="Calibri" w:eastAsia="Calibri" w:hAnsi="Calibri" w:cs="Calibri"/>
                <w:sz w:val="20"/>
                <w:szCs w:val="20"/>
              </w:rPr>
              <w:t>After e-results</w:t>
            </w:r>
          </w:p>
        </w:tc>
      </w:tr>
      <w:tr w:rsidR="00A65AC3" w:rsidRPr="00E93068" w14:paraId="04AC0D5C" w14:textId="77777777" w:rsidTr="00A65AC3">
        <w:trPr>
          <w:trHeight w:val="518"/>
        </w:trPr>
        <w:tc>
          <w:tcPr>
            <w:tcW w:w="5755" w:type="dxa"/>
          </w:tcPr>
          <w:p w14:paraId="49155668" w14:textId="4581244B" w:rsidR="00A65AC3" w:rsidRPr="00A65AC3" w:rsidRDefault="00A65AC3" w:rsidP="00A65AC3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65AC3">
              <w:rPr>
                <w:rFonts w:ascii="Calibri" w:eastAsia="Calibri" w:hAnsi="Calibri" w:cs="Calibri"/>
                <w:sz w:val="20"/>
                <w:szCs w:val="20"/>
              </w:rPr>
              <w:t xml:space="preserve">Average time from </w:t>
            </w:r>
            <w:r w:rsidR="00815AB7">
              <w:rPr>
                <w:rFonts w:ascii="Calibri" w:eastAsia="Calibri" w:hAnsi="Calibri" w:cs="Calibri"/>
                <w:sz w:val="20"/>
                <w:szCs w:val="20"/>
              </w:rPr>
              <w:t xml:space="preserve">time of birth </w:t>
            </w:r>
            <w:r w:rsidRPr="00A65AC3">
              <w:rPr>
                <w:rFonts w:ascii="Calibri" w:eastAsia="Calibri" w:hAnsi="Calibri" w:cs="Calibri"/>
                <w:sz w:val="20"/>
                <w:szCs w:val="20"/>
              </w:rPr>
              <w:t>to time NBS results are available for review in hospital EMR</w:t>
            </w:r>
          </w:p>
        </w:tc>
        <w:tc>
          <w:tcPr>
            <w:tcW w:w="1980" w:type="dxa"/>
          </w:tcPr>
          <w:p w14:paraId="52A0AC7F" w14:textId="77777777" w:rsidR="00A65AC3" w:rsidRPr="00A65AC3" w:rsidRDefault="00A65AC3" w:rsidP="00A65AC3">
            <w:pPr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5AC3">
              <w:rPr>
                <w:rFonts w:ascii="Calibri" w:eastAsia="Calibri" w:hAnsi="Calibri" w:cs="Calibri"/>
                <w:sz w:val="20"/>
                <w:szCs w:val="20"/>
              </w:rPr>
              <w:t>10.8 days</w:t>
            </w:r>
          </w:p>
        </w:tc>
        <w:tc>
          <w:tcPr>
            <w:tcW w:w="2340" w:type="dxa"/>
          </w:tcPr>
          <w:p w14:paraId="7906605F" w14:textId="77777777" w:rsidR="00A65AC3" w:rsidRPr="00A65AC3" w:rsidRDefault="00A65AC3" w:rsidP="00A65AC3">
            <w:pPr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5AC3">
              <w:rPr>
                <w:rFonts w:ascii="Calibri" w:eastAsia="Calibri" w:hAnsi="Calibri" w:cs="Calibri"/>
                <w:sz w:val="20"/>
                <w:szCs w:val="20"/>
              </w:rPr>
              <w:t>3.6 days</w:t>
            </w:r>
          </w:p>
        </w:tc>
      </w:tr>
    </w:tbl>
    <w:p w14:paraId="1AF07958" w14:textId="0A93C0A7" w:rsidR="00100AFC" w:rsidRDefault="00A65AC3" w:rsidP="00A65AC3">
      <w:pPr>
        <w:pStyle w:val="ListParagraph"/>
        <w:numPr>
          <w:ilvl w:val="1"/>
          <w:numId w:val="1"/>
        </w:numPr>
      </w:pPr>
      <w:r>
        <w:t>H</w:t>
      </w:r>
      <w:r w:rsidR="004166A3" w:rsidRPr="00DB1963">
        <w:t xml:space="preserve">ospital resources are </w:t>
      </w:r>
      <w:r>
        <w:t xml:space="preserve">no longer </w:t>
      </w:r>
      <w:r w:rsidR="004166A3" w:rsidRPr="00DB1963">
        <w:t xml:space="preserve">needed to receive, sort, scan or </w:t>
      </w:r>
      <w:r w:rsidR="00821FC3" w:rsidRPr="00DB1963">
        <w:t>enter</w:t>
      </w:r>
      <w:r w:rsidR="00821FC3">
        <w:t xml:space="preserve"> </w:t>
      </w:r>
      <w:r w:rsidR="00821FC3" w:rsidRPr="00DB1963">
        <w:t>the</w:t>
      </w:r>
      <w:r w:rsidR="004166A3" w:rsidRPr="00DB1963">
        <w:t xml:space="preserve"> NBS results into </w:t>
      </w:r>
      <w:r w:rsidRPr="00DB1963">
        <w:t>hospital EMR or distribute</w:t>
      </w:r>
      <w:r>
        <w:t>/</w:t>
      </w:r>
      <w:r w:rsidRPr="00DB1963">
        <w:t xml:space="preserve">file the paper copies </w:t>
      </w:r>
      <w:r w:rsidR="004166A3" w:rsidRPr="00DB1963">
        <w:t xml:space="preserve">the </w:t>
      </w:r>
      <w:r>
        <w:t>results.</w:t>
      </w:r>
    </w:p>
    <w:p w14:paraId="5C100015" w14:textId="71EB731A" w:rsidR="004166A3" w:rsidRPr="00DB1963" w:rsidRDefault="004166A3" w:rsidP="004166A3">
      <w:pPr>
        <w:pStyle w:val="ListParagraph"/>
        <w:numPr>
          <w:ilvl w:val="0"/>
          <w:numId w:val="1"/>
        </w:numPr>
      </w:pPr>
      <w:r w:rsidRPr="00DB1963">
        <w:t>Improves patient care</w:t>
      </w:r>
      <w:r w:rsidR="00FA5E48">
        <w:t>/outcomes</w:t>
      </w:r>
      <w:r w:rsidRPr="00DB1963">
        <w:t xml:space="preserve"> – </w:t>
      </w:r>
    </w:p>
    <w:p w14:paraId="7AE80F2E" w14:textId="36C7AE4A" w:rsidR="00100AFC" w:rsidRPr="00821FC3" w:rsidRDefault="00100AFC" w:rsidP="00100AFC">
      <w:pPr>
        <w:pStyle w:val="ListParagraph"/>
        <w:numPr>
          <w:ilvl w:val="1"/>
          <w:numId w:val="1"/>
        </w:numPr>
        <w:rPr>
          <w:b/>
          <w:bCs/>
        </w:rPr>
      </w:pPr>
      <w:r w:rsidRPr="00100AFC">
        <w:t xml:space="preserve">Healthcare professionals can access NBS test results from the hospital EMR system an average of </w:t>
      </w:r>
      <w:r w:rsidRPr="00100AFC">
        <w:rPr>
          <w:u w:val="single"/>
        </w:rPr>
        <w:t>SEVEN days sooner</w:t>
      </w:r>
      <w:r w:rsidRPr="00100AFC">
        <w:t xml:space="preserve"> than when hard copy reports </w:t>
      </w:r>
      <w:proofErr w:type="gramStart"/>
      <w:r w:rsidRPr="00100AFC">
        <w:t>have to</w:t>
      </w:r>
      <w:proofErr w:type="gramEnd"/>
      <w:r w:rsidRPr="00100AFC">
        <w:t xml:space="preserve"> be </w:t>
      </w:r>
      <w:r w:rsidR="00A65AC3">
        <w:t>delivered</w:t>
      </w:r>
      <w:r w:rsidRPr="00100AFC">
        <w:t>, distributed and scanned.</w:t>
      </w:r>
      <w:r w:rsidRPr="00821FC3">
        <w:rPr>
          <w:b/>
          <w:bCs/>
        </w:rPr>
        <w:t xml:space="preserve"> This could literally save the lives of newborns needing a rapid diagnosis and treatment! </w:t>
      </w:r>
    </w:p>
    <w:p w14:paraId="029DE27D" w14:textId="34B265B1" w:rsidR="006A0E3B" w:rsidRDefault="006A0E3B" w:rsidP="006A0E3B">
      <w:r>
        <w:lastRenderedPageBreak/>
        <w:t xml:space="preserve">For additional information </w:t>
      </w:r>
      <w:r w:rsidR="00357FE9">
        <w:t xml:space="preserve">please </w:t>
      </w:r>
      <w:r>
        <w:t>contact</w:t>
      </w:r>
      <w:r w:rsidR="00A34FEF">
        <w:t>:</w:t>
      </w:r>
    </w:p>
    <w:p w14:paraId="7EFD5B8F" w14:textId="77777777" w:rsidR="00A34FEF" w:rsidRDefault="00A34FEF" w:rsidP="00A34FEF">
      <w:pPr>
        <w:spacing w:after="0"/>
      </w:pPr>
      <w:r>
        <w:t>Emily Hopkins</w:t>
      </w:r>
    </w:p>
    <w:p w14:paraId="5B296269" w14:textId="77777777" w:rsidR="00A34FEF" w:rsidRDefault="00A34FEF" w:rsidP="00A34FEF">
      <w:pPr>
        <w:spacing w:after="0"/>
      </w:pPr>
      <w:r>
        <w:t>VA/DCLS Director of Laboratory Operations</w:t>
      </w:r>
    </w:p>
    <w:p w14:paraId="1C83267B" w14:textId="278332E7" w:rsidR="006A0E3B" w:rsidRDefault="00000000" w:rsidP="006A0E3B">
      <w:hyperlink r:id="rId8" w:history="1">
        <w:r w:rsidR="00A34FEF" w:rsidRPr="0068193E">
          <w:rPr>
            <w:rStyle w:val="Hyperlink"/>
          </w:rPr>
          <w:t>emily.hopkins@dgs.virginia.gov</w:t>
        </w:r>
      </w:hyperlink>
    </w:p>
    <w:p w14:paraId="5CAE9FAA" w14:textId="77777777" w:rsidR="00A34FEF" w:rsidRDefault="00A34FEF" w:rsidP="00A34FEF">
      <w:pPr>
        <w:spacing w:after="0"/>
      </w:pPr>
      <w:proofErr w:type="spellStart"/>
      <w:r>
        <w:t>Linoise</w:t>
      </w:r>
      <w:proofErr w:type="spellEnd"/>
      <w:r>
        <w:t xml:space="preserve"> </w:t>
      </w:r>
      <w:proofErr w:type="spellStart"/>
      <w:r>
        <w:t>Edassery</w:t>
      </w:r>
      <w:proofErr w:type="spellEnd"/>
    </w:p>
    <w:p w14:paraId="323025A9" w14:textId="77777777" w:rsidR="00A34FEF" w:rsidRDefault="00A34FEF" w:rsidP="00A34FEF">
      <w:pPr>
        <w:spacing w:after="0"/>
      </w:pPr>
      <w:r>
        <w:t>Technical Project Manager</w:t>
      </w:r>
    </w:p>
    <w:p w14:paraId="7C218342" w14:textId="78420CA3" w:rsidR="00A34FEF" w:rsidRDefault="00A34FEF" w:rsidP="00A34FEF">
      <w:pPr>
        <w:spacing w:after="0"/>
      </w:pPr>
      <w:r>
        <w:t>DGS/Information Systems Services</w:t>
      </w:r>
    </w:p>
    <w:p w14:paraId="03BBB743" w14:textId="1F1D7188" w:rsidR="00A34FEF" w:rsidRDefault="00000000" w:rsidP="00A34FEF">
      <w:hyperlink r:id="rId9" w:history="1">
        <w:r w:rsidR="00A34FEF" w:rsidRPr="0068193E">
          <w:rPr>
            <w:rStyle w:val="Hyperlink"/>
          </w:rPr>
          <w:t>Linoise.edassery@dgs.virginia.gov</w:t>
        </w:r>
      </w:hyperlink>
    </w:p>
    <w:p w14:paraId="114F76F4" w14:textId="77777777" w:rsidR="00A34FEF" w:rsidRDefault="00A34FEF" w:rsidP="00A34FEF"/>
    <w:p w14:paraId="464DFBD2" w14:textId="2239764A" w:rsidR="00A34FEF" w:rsidRDefault="00A34FEF" w:rsidP="00A34FEF"/>
    <w:p w14:paraId="117BB4E0" w14:textId="77777777" w:rsidR="00A34FEF" w:rsidRDefault="00A34FEF" w:rsidP="00A34FEF"/>
    <w:p w14:paraId="44A1CAE1" w14:textId="77777777" w:rsidR="00A34FEF" w:rsidRDefault="00A34FEF" w:rsidP="006A0E3B"/>
    <w:p w14:paraId="251EBEF0" w14:textId="77777777" w:rsidR="006A0E3B" w:rsidRDefault="006A0E3B" w:rsidP="006A0E3B"/>
    <w:sectPr w:rsidR="006A0E3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0C7D" w14:textId="77777777" w:rsidR="00924C19" w:rsidRDefault="00924C19" w:rsidP="006A0E3B">
      <w:pPr>
        <w:spacing w:after="0" w:line="240" w:lineRule="auto"/>
      </w:pPr>
      <w:r>
        <w:separator/>
      </w:r>
    </w:p>
  </w:endnote>
  <w:endnote w:type="continuationSeparator" w:id="0">
    <w:p w14:paraId="3464F4E3" w14:textId="77777777" w:rsidR="00924C19" w:rsidRDefault="00924C19" w:rsidP="006A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350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BC549" w14:textId="2B113A52" w:rsidR="006A0E3B" w:rsidRDefault="006A0E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B654E" w14:textId="77777777" w:rsidR="006A0E3B" w:rsidRDefault="006A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EFDC6" w14:textId="77777777" w:rsidR="00924C19" w:rsidRDefault="00924C19" w:rsidP="006A0E3B">
      <w:pPr>
        <w:spacing w:after="0" w:line="240" w:lineRule="auto"/>
      </w:pPr>
      <w:r>
        <w:separator/>
      </w:r>
    </w:p>
  </w:footnote>
  <w:footnote w:type="continuationSeparator" w:id="0">
    <w:p w14:paraId="20541F7E" w14:textId="77777777" w:rsidR="00924C19" w:rsidRDefault="00924C19" w:rsidP="006A0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70F7A"/>
    <w:multiLevelType w:val="hybridMultilevel"/>
    <w:tmpl w:val="4372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04233"/>
    <w:multiLevelType w:val="hybridMultilevel"/>
    <w:tmpl w:val="C9F427E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93787681">
    <w:abstractNumId w:val="0"/>
  </w:num>
  <w:num w:numId="2" w16cid:durableId="90657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B9"/>
    <w:rsid w:val="00100AFC"/>
    <w:rsid w:val="001F00BA"/>
    <w:rsid w:val="0021428F"/>
    <w:rsid w:val="00273055"/>
    <w:rsid w:val="0029193F"/>
    <w:rsid w:val="00357FE9"/>
    <w:rsid w:val="003B418D"/>
    <w:rsid w:val="004166A3"/>
    <w:rsid w:val="004B284C"/>
    <w:rsid w:val="00507BCE"/>
    <w:rsid w:val="0058689C"/>
    <w:rsid w:val="005D6460"/>
    <w:rsid w:val="00683786"/>
    <w:rsid w:val="006A0E3B"/>
    <w:rsid w:val="006A70EE"/>
    <w:rsid w:val="007353B9"/>
    <w:rsid w:val="00815AB7"/>
    <w:rsid w:val="00821FC3"/>
    <w:rsid w:val="00924C19"/>
    <w:rsid w:val="00992C3B"/>
    <w:rsid w:val="009B0CF0"/>
    <w:rsid w:val="009D357D"/>
    <w:rsid w:val="00A2154A"/>
    <w:rsid w:val="00A34A86"/>
    <w:rsid w:val="00A34FEF"/>
    <w:rsid w:val="00A65AC3"/>
    <w:rsid w:val="00B56DC5"/>
    <w:rsid w:val="00BF4C45"/>
    <w:rsid w:val="00C772F1"/>
    <w:rsid w:val="00CB36A1"/>
    <w:rsid w:val="00D10C1E"/>
    <w:rsid w:val="00D644E0"/>
    <w:rsid w:val="00D77FB5"/>
    <w:rsid w:val="00DB13B6"/>
    <w:rsid w:val="00DB1963"/>
    <w:rsid w:val="00DC5811"/>
    <w:rsid w:val="00E93068"/>
    <w:rsid w:val="00F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D4851"/>
  <w15:chartTrackingRefBased/>
  <w15:docId w15:val="{92FF382E-4A41-48F5-B95F-8BC1E317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3B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9306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306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3B"/>
  </w:style>
  <w:style w:type="paragraph" w:styleId="Footer">
    <w:name w:val="footer"/>
    <w:basedOn w:val="Normal"/>
    <w:link w:val="FooterChar"/>
    <w:uiPriority w:val="99"/>
    <w:unhideWhenUsed/>
    <w:rsid w:val="006A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3B"/>
  </w:style>
  <w:style w:type="character" w:styleId="Hyperlink">
    <w:name w:val="Hyperlink"/>
    <w:basedOn w:val="DefaultParagraphFont"/>
    <w:uiPriority w:val="99"/>
    <w:unhideWhenUsed/>
    <w:rsid w:val="00A34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hopkins@dgs.virgini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noise.edassery@dgs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wandrews.rvc@gmail.com</dc:creator>
  <cp:keywords/>
  <dc:description/>
  <cp:lastModifiedBy>Wanda Andrews</cp:lastModifiedBy>
  <cp:revision>2</cp:revision>
  <dcterms:created xsi:type="dcterms:W3CDTF">2024-04-09T16:31:00Z</dcterms:created>
  <dcterms:modified xsi:type="dcterms:W3CDTF">2024-04-09T16:31:00Z</dcterms:modified>
</cp:coreProperties>
</file>